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BA" w:rsidRPr="002B75FC" w:rsidRDefault="00D75ABA" w:rsidP="00D75ABA">
      <w:pPr>
        <w:ind w:left="5040" w:firstLine="360"/>
        <w:jc w:val="right"/>
        <w:rPr>
          <w:lang w:val="ro-RO"/>
        </w:rPr>
      </w:pPr>
      <w:r w:rsidRPr="002B75FC">
        <w:rPr>
          <w:lang w:val="ro-RO"/>
        </w:rPr>
        <w:t>Anexa  nr. 3</w:t>
      </w:r>
    </w:p>
    <w:p w:rsidR="00D75ABA" w:rsidRPr="002B75FC" w:rsidRDefault="00D75ABA" w:rsidP="00D75ABA">
      <w:pPr>
        <w:ind w:left="3600"/>
        <w:jc w:val="right"/>
        <w:rPr>
          <w:lang w:val="ro-RO"/>
        </w:rPr>
      </w:pPr>
      <w:r w:rsidRPr="002B75FC">
        <w:rPr>
          <w:lang w:val="ro-RO"/>
        </w:rPr>
        <w:t xml:space="preserve">la Cerințele privind producerea, importul </w:t>
      </w:r>
    </w:p>
    <w:p w:rsidR="00D75ABA" w:rsidRPr="002B75FC" w:rsidRDefault="00D75ABA" w:rsidP="00D75ABA">
      <w:pPr>
        <w:ind w:left="3600"/>
        <w:jc w:val="right"/>
        <w:rPr>
          <w:lang w:val="ro-RO"/>
        </w:rPr>
      </w:pPr>
      <w:r w:rsidRPr="002B75FC">
        <w:rPr>
          <w:lang w:val="ro-RO"/>
        </w:rPr>
        <w:t>şi plasarea pe piață a cărnii -  materie primă</w:t>
      </w:r>
    </w:p>
    <w:p w:rsidR="00D75ABA" w:rsidRPr="002B75FC" w:rsidRDefault="00D75ABA" w:rsidP="00D75ABA">
      <w:pPr>
        <w:ind w:firstLine="360"/>
        <w:rPr>
          <w:lang w:val="ro-RO"/>
        </w:rPr>
      </w:pPr>
    </w:p>
    <w:p w:rsidR="00D75ABA" w:rsidRPr="00343CD3" w:rsidRDefault="00D75ABA" w:rsidP="00D75ABA">
      <w:pPr>
        <w:ind w:firstLine="360"/>
        <w:jc w:val="center"/>
        <w:rPr>
          <w:b/>
          <w:sz w:val="28"/>
          <w:szCs w:val="28"/>
          <w:lang w:val="ro-RO"/>
        </w:rPr>
      </w:pPr>
      <w:r w:rsidRPr="00343CD3">
        <w:rPr>
          <w:b/>
          <w:sz w:val="28"/>
          <w:szCs w:val="28"/>
          <w:lang w:val="ro-RO"/>
        </w:rPr>
        <w:t>CERINȚE</w:t>
      </w:r>
    </w:p>
    <w:p w:rsidR="00D75ABA" w:rsidRPr="00343CD3" w:rsidRDefault="00D75ABA" w:rsidP="00D75ABA">
      <w:pPr>
        <w:ind w:firstLine="360"/>
        <w:jc w:val="center"/>
        <w:rPr>
          <w:b/>
          <w:sz w:val="28"/>
          <w:szCs w:val="28"/>
          <w:lang w:val="ro-RO"/>
        </w:rPr>
      </w:pPr>
      <w:r w:rsidRPr="00343CD3">
        <w:rPr>
          <w:b/>
          <w:sz w:val="28"/>
          <w:szCs w:val="28"/>
          <w:lang w:val="ro-RO"/>
        </w:rPr>
        <w:t>față de acidul lactic utilizat pentru reducerea contaminării microbiologice de suprafață a carcaselor de bovine</w:t>
      </w:r>
    </w:p>
    <w:p w:rsidR="00D75ABA" w:rsidRPr="00343CD3" w:rsidRDefault="00D75ABA" w:rsidP="00D75ABA">
      <w:pPr>
        <w:ind w:firstLine="360"/>
        <w:rPr>
          <w:b/>
          <w:bCs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604"/>
      </w:tblGrid>
      <w:tr w:rsidR="00D75ABA" w:rsidRPr="00343CD3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b/>
                <w:b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b/>
                <w:bCs/>
                <w:sz w:val="24"/>
                <w:szCs w:val="24"/>
                <w:lang w:val="ro-RO"/>
              </w:rPr>
              <w:t>Descriere</w:t>
            </w:r>
          </w:p>
        </w:tc>
      </w:tr>
      <w:tr w:rsidR="00D75ABA" w:rsidRPr="00343CD3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0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b/>
                <w:bCs/>
                <w:i/>
                <w:sz w:val="24"/>
                <w:szCs w:val="24"/>
                <w:lang w:val="ro-RO"/>
              </w:rPr>
              <w:t xml:space="preserve">Formula chimică 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C</w:t>
            </w:r>
            <w:r w:rsidRPr="00343CD3">
              <w:rPr>
                <w:sz w:val="24"/>
                <w:szCs w:val="24"/>
                <w:vertAlign w:val="subscript"/>
                <w:lang w:val="ro-RO"/>
              </w:rPr>
              <w:t>3</w:t>
            </w:r>
            <w:r w:rsidRPr="00343CD3">
              <w:rPr>
                <w:sz w:val="24"/>
                <w:szCs w:val="24"/>
                <w:lang w:val="ro-RO"/>
              </w:rPr>
              <w:t>H</w:t>
            </w:r>
            <w:r w:rsidRPr="00343CD3">
              <w:rPr>
                <w:sz w:val="24"/>
                <w:szCs w:val="24"/>
                <w:vertAlign w:val="subscript"/>
                <w:lang w:val="ro-RO"/>
              </w:rPr>
              <w:t>4</w:t>
            </w:r>
            <w:r w:rsidRPr="00343CD3">
              <w:rPr>
                <w:sz w:val="24"/>
                <w:szCs w:val="24"/>
                <w:lang w:val="ro-RO"/>
              </w:rPr>
              <w:t>O</w:t>
            </w:r>
            <w:r w:rsidRPr="00343CD3">
              <w:rPr>
                <w:sz w:val="24"/>
                <w:szCs w:val="24"/>
                <w:vertAlign w:val="subscript"/>
                <w:lang w:val="ro-RO"/>
              </w:rPr>
              <w:t>3</w:t>
            </w:r>
          </w:p>
        </w:tc>
      </w:tr>
      <w:tr w:rsidR="00D75ABA" w:rsidRPr="00343CD3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0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b/>
                <w:i/>
                <w:sz w:val="24"/>
                <w:szCs w:val="24"/>
                <w:lang w:val="ro-RO"/>
              </w:rPr>
              <w:t>Denumire</w:t>
            </w:r>
            <w:r>
              <w:rPr>
                <w:b/>
                <w:i/>
                <w:sz w:val="24"/>
                <w:szCs w:val="24"/>
                <w:lang w:val="ro-RO"/>
              </w:rPr>
              <w:t>a</w:t>
            </w:r>
            <w:r w:rsidRPr="00343CD3">
              <w:rPr>
                <w:b/>
                <w:i/>
                <w:sz w:val="24"/>
                <w:szCs w:val="24"/>
                <w:lang w:val="ro-RO"/>
              </w:rPr>
              <w:t xml:space="preserve"> chimică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Acid lactic; Acid 2-hidroxipropionic; Acid 1-hidroxietan-1-carboxilic</w:t>
            </w:r>
          </w:p>
        </w:tc>
      </w:tr>
      <w:tr w:rsidR="00D75ABA" w:rsidRPr="00343CD3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0"/>
              <w:rPr>
                <w:b/>
                <w:i/>
                <w:sz w:val="24"/>
                <w:szCs w:val="24"/>
                <w:lang w:val="ro-RO"/>
              </w:rPr>
            </w:pPr>
            <w:r w:rsidRPr="00343CD3">
              <w:rPr>
                <w:b/>
                <w:i/>
                <w:sz w:val="24"/>
                <w:szCs w:val="24"/>
                <w:lang w:val="ro-RO"/>
              </w:rPr>
              <w:t>Mas</w:t>
            </w:r>
            <w:r>
              <w:rPr>
                <w:b/>
                <w:i/>
                <w:sz w:val="24"/>
                <w:szCs w:val="24"/>
                <w:lang w:val="ro-RO"/>
              </w:rPr>
              <w:t>a</w:t>
            </w:r>
            <w:r w:rsidRPr="00343CD3">
              <w:rPr>
                <w:b/>
                <w:i/>
                <w:sz w:val="24"/>
                <w:szCs w:val="24"/>
                <w:lang w:val="ro-RO"/>
              </w:rPr>
              <w:t xml:space="preserve"> moleculară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90,08</w:t>
            </w:r>
          </w:p>
        </w:tc>
      </w:tr>
      <w:tr w:rsidR="00D75ABA" w:rsidRPr="00457C31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0"/>
              <w:rPr>
                <w:b/>
                <w:i/>
                <w:sz w:val="24"/>
                <w:szCs w:val="24"/>
                <w:lang w:val="ro-RO"/>
              </w:rPr>
            </w:pPr>
            <w:r w:rsidRPr="00343CD3">
              <w:rPr>
                <w:b/>
                <w:i/>
                <w:sz w:val="24"/>
                <w:szCs w:val="24"/>
                <w:lang w:val="ro-RO"/>
              </w:rPr>
              <w:t>Compoziți</w:t>
            </w:r>
            <w:r>
              <w:rPr>
                <w:b/>
                <w:i/>
                <w:sz w:val="24"/>
                <w:szCs w:val="24"/>
                <w:lang w:val="ro-RO"/>
              </w:rPr>
              <w:t>a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Conține nu mai puțin de 76 %</w:t>
            </w:r>
          </w:p>
        </w:tc>
      </w:tr>
      <w:tr w:rsidR="00D75ABA" w:rsidRPr="00457C31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0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b/>
                <w:bCs/>
                <w:i/>
                <w:sz w:val="24"/>
                <w:szCs w:val="24"/>
                <w:lang w:val="ro-RO"/>
              </w:rPr>
              <w:t>Mod</w:t>
            </w:r>
            <w:r>
              <w:rPr>
                <w:b/>
                <w:bCs/>
                <w:i/>
                <w:sz w:val="24"/>
                <w:szCs w:val="24"/>
                <w:lang w:val="ro-RO"/>
              </w:rPr>
              <w:t>ul</w:t>
            </w:r>
            <w:r w:rsidRPr="00343CD3">
              <w:rPr>
                <w:b/>
                <w:bCs/>
                <w:i/>
                <w:sz w:val="24"/>
                <w:szCs w:val="24"/>
                <w:lang w:val="ro-RO"/>
              </w:rPr>
              <w:t xml:space="preserve"> de obținere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Se obține prin fermentarea lactică a zaharurilor sau se prepară prin sinteză. Acidul lactic este higroscopic și, atunci cînd este concentrat prin fierbere, se condensează și formează lactatul de acid lactic, care</w:t>
            </w:r>
            <w:r>
              <w:rPr>
                <w:sz w:val="24"/>
                <w:szCs w:val="24"/>
                <w:lang w:val="ro-RO"/>
              </w:rPr>
              <w:t>,</w:t>
            </w:r>
            <w:r w:rsidRPr="00343CD3">
              <w:rPr>
                <w:sz w:val="24"/>
                <w:szCs w:val="24"/>
                <w:lang w:val="ro-RO"/>
              </w:rPr>
              <w:t xml:space="preserve"> prin diluare și încălzire</w:t>
            </w:r>
            <w:r>
              <w:rPr>
                <w:sz w:val="24"/>
                <w:szCs w:val="24"/>
                <w:lang w:val="ro-RO"/>
              </w:rPr>
              <w:t>,</w:t>
            </w:r>
            <w:r w:rsidRPr="00343CD3">
              <w:rPr>
                <w:sz w:val="24"/>
                <w:szCs w:val="24"/>
                <w:lang w:val="ro-RO"/>
              </w:rPr>
              <w:t>hidrolizează în acid lactic.</w:t>
            </w:r>
          </w:p>
        </w:tc>
      </w:tr>
      <w:tr w:rsidR="00D75ABA" w:rsidRPr="00457C31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0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b/>
                <w:bCs/>
                <w:i/>
                <w:sz w:val="24"/>
                <w:szCs w:val="24"/>
                <w:lang w:val="ro-RO"/>
              </w:rPr>
              <w:t>Aspect</w:t>
            </w:r>
            <w:r>
              <w:rPr>
                <w:b/>
                <w:bCs/>
                <w:i/>
                <w:sz w:val="24"/>
                <w:szCs w:val="24"/>
                <w:lang w:val="ro-RO"/>
              </w:rPr>
              <w:t>ul</w:t>
            </w:r>
            <w:r w:rsidRPr="00343CD3">
              <w:rPr>
                <w:b/>
                <w:bCs/>
                <w:i/>
                <w:sz w:val="24"/>
                <w:szCs w:val="24"/>
                <w:lang w:val="ro-RO"/>
              </w:rPr>
              <w:t xml:space="preserve"> exterior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De la lichid siropos la solid, incolor sau gălbui, aproape inodor</w:t>
            </w:r>
          </w:p>
        </w:tc>
      </w:tr>
      <w:tr w:rsidR="00D75ABA" w:rsidRPr="00343CD3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0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b/>
                <w:bCs/>
                <w:i/>
                <w:sz w:val="24"/>
                <w:szCs w:val="24"/>
                <w:lang w:val="ro-RO"/>
              </w:rPr>
              <w:t>Puritate</w:t>
            </w:r>
            <w:r>
              <w:rPr>
                <w:b/>
                <w:bCs/>
                <w:i/>
                <w:sz w:val="24"/>
                <w:szCs w:val="24"/>
                <w:lang w:val="ro-RO"/>
              </w:rPr>
              <w:t>a</w:t>
            </w:r>
            <w:r w:rsidRPr="00343CD3">
              <w:rPr>
                <w:b/>
                <w:bCs/>
                <w:i/>
                <w:sz w:val="24"/>
                <w:szCs w:val="24"/>
                <w:lang w:val="ro-RO"/>
              </w:rPr>
              <w:t>: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D75ABA" w:rsidRPr="00343CD3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jc w:val="left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i/>
                <w:sz w:val="24"/>
                <w:szCs w:val="24"/>
                <w:lang w:val="ro-RO"/>
              </w:rPr>
              <w:t>cenușă sulfatată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Nu mai mult de 0,1 %</w:t>
            </w:r>
          </w:p>
        </w:tc>
      </w:tr>
      <w:tr w:rsidR="00D75ABA" w:rsidRPr="00343CD3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jc w:val="left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i/>
                <w:sz w:val="24"/>
                <w:szCs w:val="24"/>
                <w:lang w:val="ro-RO"/>
              </w:rPr>
              <w:t>clorură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Nu mai mult de 0,2 %</w:t>
            </w:r>
          </w:p>
        </w:tc>
      </w:tr>
      <w:tr w:rsidR="00D75ABA" w:rsidRPr="00343CD3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jc w:val="left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i/>
                <w:sz w:val="24"/>
                <w:szCs w:val="24"/>
                <w:lang w:val="ro-RO"/>
              </w:rPr>
              <w:t>sulfat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Nu mai mult de 0,25 %</w:t>
            </w:r>
          </w:p>
        </w:tc>
      </w:tr>
      <w:tr w:rsidR="00D75ABA" w:rsidRPr="00457C31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jc w:val="left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i/>
                <w:sz w:val="24"/>
                <w:szCs w:val="24"/>
                <w:lang w:val="ro-RO"/>
              </w:rPr>
              <w:t>fier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Nu mai mult de 10 mg/kg</w:t>
            </w:r>
          </w:p>
        </w:tc>
      </w:tr>
      <w:tr w:rsidR="00D75ABA" w:rsidRPr="00457C31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jc w:val="left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i/>
                <w:sz w:val="24"/>
                <w:szCs w:val="24"/>
                <w:lang w:val="ro-RO"/>
              </w:rPr>
              <w:t>arsen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Nu mai mult de 3 mg/kg</w:t>
            </w:r>
          </w:p>
        </w:tc>
      </w:tr>
      <w:tr w:rsidR="00D75ABA" w:rsidRPr="00457C31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i/>
                <w:sz w:val="24"/>
                <w:szCs w:val="24"/>
                <w:lang w:val="ro-RO"/>
              </w:rPr>
              <w:t>plumb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Nu mai mult de 2 mg/kg</w:t>
            </w:r>
          </w:p>
        </w:tc>
      </w:tr>
      <w:tr w:rsidR="00D75ABA" w:rsidRPr="00457C31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i/>
                <w:sz w:val="24"/>
                <w:szCs w:val="24"/>
                <w:lang w:val="ro-RO"/>
              </w:rPr>
              <w:t>mercur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Nu mai mult de 1 mg/kg</w:t>
            </w:r>
          </w:p>
        </w:tc>
      </w:tr>
      <w:tr w:rsidR="00D75ABA" w:rsidRPr="00343CD3" w:rsidTr="00C803C2">
        <w:tc>
          <w:tcPr>
            <w:tcW w:w="1427" w:type="pct"/>
            <w:shd w:val="clear" w:color="auto" w:fill="auto"/>
          </w:tcPr>
          <w:p w:rsidR="00D75ABA" w:rsidRPr="00343CD3" w:rsidRDefault="00D75ABA" w:rsidP="00C803C2">
            <w:pPr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43CD3">
              <w:rPr>
                <w:b/>
                <w:i/>
                <w:sz w:val="24"/>
                <w:szCs w:val="24"/>
                <w:lang w:val="ro-RO"/>
              </w:rPr>
              <w:t>EINECS</w:t>
            </w:r>
          </w:p>
        </w:tc>
        <w:tc>
          <w:tcPr>
            <w:tcW w:w="3573" w:type="pct"/>
            <w:shd w:val="clear" w:color="auto" w:fill="auto"/>
          </w:tcPr>
          <w:p w:rsidR="00D75ABA" w:rsidRPr="00343CD3" w:rsidRDefault="00D75ABA" w:rsidP="00C803C2">
            <w:pPr>
              <w:ind w:firstLine="360"/>
              <w:rPr>
                <w:b/>
                <w:bCs/>
                <w:sz w:val="24"/>
                <w:szCs w:val="24"/>
                <w:lang w:val="ro-RO"/>
              </w:rPr>
            </w:pPr>
            <w:r w:rsidRPr="00343CD3">
              <w:rPr>
                <w:sz w:val="24"/>
                <w:szCs w:val="24"/>
                <w:lang w:val="ro-RO"/>
              </w:rPr>
              <w:t>200-018-0”.</w:t>
            </w:r>
          </w:p>
        </w:tc>
      </w:tr>
    </w:tbl>
    <w:p w:rsidR="00DD00D7" w:rsidRDefault="00DD00D7"/>
    <w:sectPr w:rsidR="00DD00D7" w:rsidSect="00DD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5ABA"/>
    <w:rsid w:val="00D75ABA"/>
    <w:rsid w:val="00DD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2018-05-25T11:38:00Z</dcterms:created>
  <dcterms:modified xsi:type="dcterms:W3CDTF">2018-05-25T11:38:00Z</dcterms:modified>
</cp:coreProperties>
</file>